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10C3B93" w:rsidR="00CD4C7B" w:rsidRPr="00B266B0" w:rsidRDefault="00CD4C7B" w:rsidP="004302F3">
      <w:pPr>
        <w:pStyle w:val="Header"/>
        <w:keepNext/>
        <w:keepLines/>
        <w:widowControl/>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1F59B9">
        <w:rPr>
          <w:bCs/>
          <w:noProof w:val="0"/>
          <w:sz w:val="24"/>
          <w:szCs w:val="24"/>
        </w:rPr>
        <w:t>09185</w:t>
      </w:r>
      <w:bookmarkStart w:id="1" w:name="_GoBack"/>
      <w:bookmarkEnd w:id="1"/>
    </w:p>
    <w:p w14:paraId="231362B2" w14:textId="58FD3C36" w:rsidR="00CD4C7B" w:rsidRPr="00B266B0" w:rsidRDefault="009D74A6" w:rsidP="004302F3">
      <w:pPr>
        <w:pStyle w:val="Header"/>
        <w:keepNext/>
        <w:keepLines/>
        <w:widowControl/>
        <w:tabs>
          <w:tab w:val="right" w:pos="9639"/>
        </w:tabs>
        <w:rPr>
          <w:bCs/>
          <w:noProof w:val="0"/>
          <w:sz w:val="24"/>
          <w:szCs w:val="24"/>
        </w:rPr>
      </w:pPr>
      <w:r>
        <w:rPr>
          <w:noProof w:val="0"/>
          <w:sz w:val="24"/>
          <w:szCs w:val="24"/>
          <w:lang w:eastAsia="zh-CN"/>
        </w:rPr>
        <w:t>Berlin</w:t>
      </w:r>
      <w:r w:rsidR="00C24650" w:rsidRPr="00C24650">
        <w:rPr>
          <w:noProof w:val="0"/>
          <w:sz w:val="24"/>
          <w:szCs w:val="24"/>
          <w:lang w:eastAsia="zh-CN"/>
        </w:rPr>
        <w:t xml:space="preserve">, </w:t>
      </w:r>
      <w:r>
        <w:rPr>
          <w:noProof w:val="0"/>
          <w:sz w:val="24"/>
          <w:szCs w:val="24"/>
          <w:lang w:eastAsia="zh-CN"/>
        </w:rPr>
        <w:t>Germany</w:t>
      </w:r>
      <w:r w:rsidR="00C24650" w:rsidRPr="00C24650">
        <w:rPr>
          <w:noProof w:val="0"/>
          <w:sz w:val="24"/>
          <w:szCs w:val="24"/>
          <w:lang w:eastAsia="zh-CN"/>
        </w:rPr>
        <w:t xml:space="preserve">, </w:t>
      </w:r>
      <w:r>
        <w:rPr>
          <w:noProof w:val="0"/>
          <w:sz w:val="24"/>
          <w:szCs w:val="24"/>
          <w:lang w:eastAsia="zh-CN"/>
        </w:rPr>
        <w:t>21</w:t>
      </w:r>
      <w:r w:rsidR="00C92967">
        <w:rPr>
          <w:noProof w:val="0"/>
          <w:sz w:val="24"/>
          <w:szCs w:val="24"/>
          <w:lang w:eastAsia="zh-CN"/>
        </w:rPr>
        <w:t xml:space="preserve"> - </w:t>
      </w:r>
      <w:r>
        <w:rPr>
          <w:noProof w:val="0"/>
          <w:sz w:val="24"/>
          <w:szCs w:val="24"/>
          <w:lang w:eastAsia="zh-CN"/>
        </w:rPr>
        <w:t>25</w:t>
      </w:r>
      <w:r w:rsidR="00C92967">
        <w:rPr>
          <w:noProof w:val="0"/>
          <w:sz w:val="24"/>
          <w:szCs w:val="24"/>
          <w:lang w:eastAsia="zh-CN"/>
        </w:rPr>
        <w:t xml:space="preserve"> </w:t>
      </w:r>
      <w:r>
        <w:rPr>
          <w:noProof w:val="0"/>
          <w:sz w:val="24"/>
          <w:szCs w:val="24"/>
          <w:lang w:eastAsia="zh-CN"/>
        </w:rPr>
        <w:t>August</w:t>
      </w:r>
      <w:r w:rsidR="00813245">
        <w:rPr>
          <w:noProof w:val="0"/>
          <w:sz w:val="24"/>
          <w:szCs w:val="24"/>
          <w:lang w:eastAsia="zh-CN"/>
        </w:rPr>
        <w:t xml:space="preserve"> </w:t>
      </w:r>
      <w:r w:rsidR="00C24650" w:rsidRPr="00C24650">
        <w:rPr>
          <w:noProof w:val="0"/>
          <w:sz w:val="24"/>
          <w:szCs w:val="24"/>
          <w:lang w:eastAsia="zh-CN"/>
        </w:rPr>
        <w:t>201</w:t>
      </w:r>
      <w:r w:rsidR="00936071">
        <w:rPr>
          <w:noProof w:val="0"/>
          <w:sz w:val="24"/>
          <w:szCs w:val="24"/>
          <w:lang w:eastAsia="zh-CN"/>
        </w:rPr>
        <w:t>7</w:t>
      </w:r>
    </w:p>
    <w:p w14:paraId="39BE00F6" w14:textId="77777777" w:rsidR="00CD4C7B" w:rsidRPr="00B266B0" w:rsidRDefault="00CD4C7B" w:rsidP="004302F3">
      <w:pPr>
        <w:pStyle w:val="Header"/>
        <w:keepNext/>
        <w:keepLines/>
        <w:widowControl/>
        <w:rPr>
          <w:bCs/>
          <w:noProof w:val="0"/>
          <w:sz w:val="24"/>
        </w:rPr>
      </w:pPr>
    </w:p>
    <w:p w14:paraId="49379CFB" w14:textId="77777777" w:rsidR="00CD4C7B" w:rsidRPr="00B266B0" w:rsidRDefault="00CD4C7B" w:rsidP="004302F3">
      <w:pPr>
        <w:pStyle w:val="Header"/>
        <w:keepNext/>
        <w:keepLines/>
        <w:widowControl/>
        <w:rPr>
          <w:bCs/>
          <w:noProof w:val="0"/>
          <w:sz w:val="24"/>
        </w:rPr>
      </w:pPr>
    </w:p>
    <w:p w14:paraId="758E2B30" w14:textId="67F4AE54" w:rsidR="00CD4C7B" w:rsidRPr="00B266B0" w:rsidRDefault="00CD4C7B" w:rsidP="004302F3">
      <w:pPr>
        <w:pStyle w:val="CRCoverPage"/>
        <w:keepNext/>
        <w:keepLines/>
        <w:tabs>
          <w:tab w:val="left" w:pos="1985"/>
        </w:tabs>
        <w:rPr>
          <w:rFonts w:cs="Arial"/>
          <w:b/>
          <w:bCs/>
          <w:sz w:val="24"/>
          <w:lang w:eastAsia="ja-JP"/>
        </w:rPr>
      </w:pPr>
      <w:r w:rsidRPr="00B266B0">
        <w:rPr>
          <w:rFonts w:cs="Arial"/>
          <w:b/>
          <w:bCs/>
          <w:sz w:val="24"/>
        </w:rPr>
        <w:t>Agenda item:</w:t>
      </w:r>
      <w:r>
        <w:rPr>
          <w:rFonts w:cs="Arial"/>
          <w:b/>
          <w:bCs/>
          <w:sz w:val="24"/>
        </w:rPr>
        <w:tab/>
      </w:r>
      <w:r w:rsidR="005B6736">
        <w:rPr>
          <w:rFonts w:cs="Arial"/>
          <w:b/>
          <w:bCs/>
          <w:sz w:val="24"/>
          <w:lang w:eastAsia="ja-JP"/>
        </w:rPr>
        <w:t>10.2.9</w:t>
      </w:r>
    </w:p>
    <w:p w14:paraId="6A1BC0C1" w14:textId="4F194DE5" w:rsidR="00CD4C7B" w:rsidRPr="00B266B0" w:rsidRDefault="00CD4C7B" w:rsidP="004302F3">
      <w:pPr>
        <w:keepNext/>
        <w:keepLines/>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D62625">
        <w:rPr>
          <w:rFonts w:ascii="Arial" w:hAnsi="Arial" w:cs="Arial"/>
          <w:b/>
          <w:bCs/>
          <w:sz w:val="24"/>
        </w:rPr>
        <w:t xml:space="preserve">Nokia </w:t>
      </w:r>
      <w:r w:rsidR="00090468">
        <w:rPr>
          <w:rFonts w:ascii="Arial" w:hAnsi="Arial" w:cs="Arial"/>
          <w:b/>
          <w:bCs/>
          <w:sz w:val="24"/>
        </w:rPr>
        <w:t>Shanghai Bell</w:t>
      </w:r>
    </w:p>
    <w:p w14:paraId="45BE90BE" w14:textId="70CB02CF" w:rsidR="00CD4C7B" w:rsidRDefault="00CD4C7B" w:rsidP="004302F3">
      <w:pPr>
        <w:keepNext/>
        <w:keepLine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1BA3">
        <w:rPr>
          <w:rFonts w:ascii="Arial" w:hAnsi="Arial" w:cs="Arial"/>
          <w:b/>
          <w:bCs/>
          <w:sz w:val="24"/>
        </w:rPr>
        <w:t>Relation of beam failure and RLF</w:t>
      </w:r>
    </w:p>
    <w:p w14:paraId="3AC3A0B1" w14:textId="2465DA0E" w:rsidR="00CD4C7B" w:rsidRPr="00B266B0" w:rsidRDefault="00CD4C7B" w:rsidP="004302F3">
      <w:pPr>
        <w:keepNext/>
        <w:keepLines/>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4302F3">
      <w:pPr>
        <w:keepNext/>
        <w:keepLines/>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4302F3">
      <w:pPr>
        <w:pStyle w:val="Heading1"/>
      </w:pPr>
      <w:r w:rsidRPr="006E13D1">
        <w:t>1</w:t>
      </w:r>
      <w:r w:rsidRPr="006E13D1">
        <w:tab/>
      </w:r>
      <w:r w:rsidR="0056573F">
        <w:t>Introduction</w:t>
      </w:r>
    </w:p>
    <w:p w14:paraId="71185FC4" w14:textId="5AA26C0E" w:rsidR="00481BA3" w:rsidRDefault="00777437" w:rsidP="00777437">
      <w:pPr>
        <w:keepNext/>
        <w:keepLines/>
      </w:pPr>
      <w:r>
        <w:t>During RAN2-NR#2 meeting RAN2 had some initial discussion about the relation between beam failure and RLF and some tentative conclusion was reached:</w:t>
      </w:r>
    </w:p>
    <w:p w14:paraId="05571376" w14:textId="77777777" w:rsidR="00777437" w:rsidRDefault="00777437" w:rsidP="00777437">
      <w:pPr>
        <w:pStyle w:val="Doc-text2"/>
      </w:pPr>
    </w:p>
    <w:p w14:paraId="7892503C" w14:textId="77777777" w:rsidR="00777437" w:rsidRDefault="00777437" w:rsidP="00777437">
      <w:pPr>
        <w:pStyle w:val="Doc-text2"/>
        <w:pBdr>
          <w:top w:val="single" w:sz="4" w:space="1" w:color="auto"/>
          <w:left w:val="single" w:sz="4" w:space="4" w:color="auto"/>
          <w:bottom w:val="single" w:sz="4" w:space="1" w:color="auto"/>
          <w:right w:val="single" w:sz="4" w:space="4" w:color="auto"/>
        </w:pBdr>
      </w:pPr>
      <w:r>
        <w:t>Agreements</w:t>
      </w:r>
    </w:p>
    <w:p w14:paraId="201CFABF" w14:textId="77777777" w:rsidR="00777437" w:rsidRDefault="00777437" w:rsidP="00777437">
      <w:pPr>
        <w:pStyle w:val="Doc-text2"/>
        <w:pBdr>
          <w:top w:val="single" w:sz="4" w:space="1" w:color="auto"/>
          <w:left w:val="single" w:sz="4" w:space="4" w:color="auto"/>
          <w:bottom w:val="single" w:sz="4" w:space="1" w:color="auto"/>
          <w:right w:val="single" w:sz="4" w:space="4" w:color="auto"/>
        </w:pBdr>
      </w:pPr>
      <w:r>
        <w:t>1:</w:t>
      </w:r>
      <w:r>
        <w:tab/>
        <w:t xml:space="preserve">RAN2 understand that beam failure recovery (L1 or MAC) and RLF (RRC) are performed in different layers. </w:t>
      </w:r>
    </w:p>
    <w:p w14:paraId="12CC2910" w14:textId="77777777" w:rsidR="00777437" w:rsidRDefault="00777437" w:rsidP="00777437">
      <w:pPr>
        <w:pStyle w:val="Doc-text2"/>
      </w:pPr>
      <w:r>
        <w:t>=&gt;</w:t>
      </w:r>
      <w:r>
        <w:tab/>
        <w:t>RAN2 will discuss again when RAN1 have provided more information on beam recovery.</w:t>
      </w:r>
    </w:p>
    <w:p w14:paraId="24183393" w14:textId="77777777" w:rsidR="00777437" w:rsidRPr="00C264FE" w:rsidRDefault="00777437" w:rsidP="00777437">
      <w:pPr>
        <w:keepNext/>
        <w:keepLines/>
      </w:pPr>
    </w:p>
    <w:p w14:paraId="54C5B00C" w14:textId="1472F6CB" w:rsidR="00777437" w:rsidRDefault="00777437" w:rsidP="00777437">
      <w:pPr>
        <w:keepNext/>
        <w:keepLines/>
      </w:pPr>
      <w:r>
        <w:t>RAN1 on the other has made the following agreements related to this topic:</w:t>
      </w:r>
    </w:p>
    <w:tbl>
      <w:tblPr>
        <w:tblStyle w:val="TableGrid"/>
        <w:tblW w:w="0" w:type="auto"/>
        <w:tblLook w:val="04A0" w:firstRow="1" w:lastRow="0" w:firstColumn="1" w:lastColumn="0" w:noHBand="0" w:noVBand="1"/>
      </w:tblPr>
      <w:tblGrid>
        <w:gridCol w:w="9631"/>
      </w:tblGrid>
      <w:tr w:rsidR="00777437" w14:paraId="7494AFD9" w14:textId="77777777" w:rsidTr="00777437">
        <w:tc>
          <w:tcPr>
            <w:tcW w:w="9631" w:type="dxa"/>
          </w:tcPr>
          <w:p w14:paraId="6AB1B696" w14:textId="77777777" w:rsidR="00777437" w:rsidRDefault="00777437" w:rsidP="00777437">
            <w:pPr>
              <w:rPr>
                <w:lang w:val="fi-FI"/>
              </w:rPr>
            </w:pPr>
            <w:r>
              <w:rPr>
                <w:b/>
                <w:bCs/>
                <w:u w:val="single"/>
                <w:lang w:val="en-US"/>
              </w:rPr>
              <w:t>Agreements:</w:t>
            </w:r>
          </w:p>
          <w:p w14:paraId="3EB69865" w14:textId="77777777" w:rsidR="00777437" w:rsidRDefault="00777437" w:rsidP="00777437">
            <w:pPr>
              <w:numPr>
                <w:ilvl w:val="0"/>
                <w:numId w:val="5"/>
              </w:numPr>
              <w:spacing w:after="0"/>
              <w:rPr>
                <w:lang w:val="en-US"/>
              </w:rPr>
            </w:pPr>
            <w:r>
              <w:t xml:space="preserve">NR should strive to provide aperiodic indication(s) based on beam failure recovery procedure to assist radio link failure (RLF) procedure, if same RS is used for beam failure recovery and RLM procedures. </w:t>
            </w:r>
          </w:p>
          <w:p w14:paraId="7E0136DA" w14:textId="77777777" w:rsidR="00777437" w:rsidRDefault="00777437" w:rsidP="00777437">
            <w:pPr>
              <w:numPr>
                <w:ilvl w:val="1"/>
                <w:numId w:val="5"/>
              </w:numPr>
              <w:spacing w:after="0"/>
              <w:rPr>
                <w:lang w:val="en-US"/>
              </w:rPr>
            </w:pPr>
            <w:r>
              <w:t>Example 1: aperiodic indication(s) based on beam failure recovery procedure can reset/stop T310</w:t>
            </w:r>
          </w:p>
          <w:p w14:paraId="0FA23313" w14:textId="77777777" w:rsidR="00777437" w:rsidRDefault="00777437" w:rsidP="00777437">
            <w:pPr>
              <w:numPr>
                <w:ilvl w:val="2"/>
                <w:numId w:val="5"/>
              </w:numPr>
              <w:spacing w:after="0"/>
              <w:rPr>
                <w:lang w:val="fi-FI"/>
              </w:rPr>
            </w:pPr>
            <w:r>
              <w:t>RAN2 can decide specific procedure</w:t>
            </w:r>
          </w:p>
          <w:p w14:paraId="5C8E0657" w14:textId="77777777" w:rsidR="00777437" w:rsidRDefault="00777437" w:rsidP="00777437">
            <w:pPr>
              <w:numPr>
                <w:ilvl w:val="1"/>
                <w:numId w:val="5"/>
              </w:numPr>
              <w:spacing w:after="0"/>
              <w:rPr>
                <w:lang w:val="en-US"/>
              </w:rPr>
            </w:pPr>
            <w:r>
              <w:t>Example 2: aperiodic indication(s) based on failure of beam recovery procedure</w:t>
            </w:r>
          </w:p>
          <w:p w14:paraId="4F96186A" w14:textId="77777777" w:rsidR="00777437" w:rsidRDefault="00777437" w:rsidP="00777437">
            <w:pPr>
              <w:numPr>
                <w:ilvl w:val="2"/>
                <w:numId w:val="5"/>
              </w:numPr>
              <w:spacing w:after="0"/>
              <w:rPr>
                <w:lang w:val="en-US"/>
              </w:rPr>
            </w:pPr>
            <w:r>
              <w:t>How to use aperiodic indication can be decided in RAN2</w:t>
            </w:r>
          </w:p>
          <w:p w14:paraId="4C33680F" w14:textId="77777777" w:rsidR="00777437" w:rsidRDefault="00777437" w:rsidP="00777437">
            <w:pPr>
              <w:numPr>
                <w:ilvl w:val="1"/>
                <w:numId w:val="5"/>
              </w:numPr>
              <w:spacing w:after="0"/>
              <w:rPr>
                <w:lang w:val="en-US"/>
              </w:rPr>
            </w:pPr>
            <w:r>
              <w:rPr>
                <w:lang w:val="en-US"/>
              </w:rPr>
              <w:t xml:space="preserve">FFS: </w:t>
            </w:r>
            <w:r>
              <w:t xml:space="preserve">aperiodic indication(s) based on beam failure recovery procedure to assist RLF procedure if </w:t>
            </w:r>
            <w:r>
              <w:rPr>
                <w:lang w:val="en-US"/>
              </w:rPr>
              <w:t>different RS is used</w:t>
            </w:r>
          </w:p>
          <w:p w14:paraId="6F3C3A47" w14:textId="77777777" w:rsidR="00777437" w:rsidRDefault="00777437" w:rsidP="00777437">
            <w:pPr>
              <w:spacing w:after="0"/>
              <w:rPr>
                <w:lang w:val="en-US"/>
              </w:rPr>
            </w:pPr>
          </w:p>
        </w:tc>
      </w:tr>
    </w:tbl>
    <w:p w14:paraId="5B6E0085" w14:textId="46C2EE16" w:rsidR="00777437" w:rsidRDefault="00777437" w:rsidP="00777437">
      <w:pPr>
        <w:spacing w:after="0"/>
        <w:rPr>
          <w:lang w:val="en-US"/>
        </w:rPr>
      </w:pPr>
    </w:p>
    <w:tbl>
      <w:tblPr>
        <w:tblStyle w:val="TableGrid"/>
        <w:tblW w:w="0" w:type="auto"/>
        <w:tblLook w:val="04A0" w:firstRow="1" w:lastRow="0" w:firstColumn="1" w:lastColumn="0" w:noHBand="0" w:noVBand="1"/>
      </w:tblPr>
      <w:tblGrid>
        <w:gridCol w:w="9631"/>
      </w:tblGrid>
      <w:tr w:rsidR="00777437" w14:paraId="5CB5F79C" w14:textId="77777777" w:rsidTr="00777437">
        <w:tc>
          <w:tcPr>
            <w:tcW w:w="9631" w:type="dxa"/>
          </w:tcPr>
          <w:p w14:paraId="5542970B" w14:textId="77777777" w:rsidR="00777437" w:rsidRDefault="00777437" w:rsidP="00777437">
            <w:pPr>
              <w:textAlignment w:val="baseline"/>
              <w:rPr>
                <w:sz w:val="24"/>
                <w:szCs w:val="24"/>
                <w:lang w:val="fi-FI" w:eastAsia="fi-FI"/>
              </w:rPr>
            </w:pPr>
            <w:r>
              <w:rPr>
                <w:rFonts w:ascii="Times" w:hAnsi="Times" w:cs="Times"/>
                <w:b/>
                <w:bCs/>
                <w:sz w:val="21"/>
                <w:szCs w:val="21"/>
                <w:highlight w:val="green"/>
                <w:u w:val="single"/>
                <w:lang w:val="en-US" w:eastAsia="fi-FI"/>
              </w:rPr>
              <w:t>Agreements:</w:t>
            </w:r>
          </w:p>
          <w:p w14:paraId="76A96985" w14:textId="77777777" w:rsidR="00777437" w:rsidRDefault="00777437" w:rsidP="00777437">
            <w:pPr>
              <w:numPr>
                <w:ilvl w:val="0"/>
                <w:numId w:val="6"/>
              </w:numPr>
              <w:spacing w:after="0"/>
              <w:ind w:left="1267"/>
              <w:textAlignment w:val="baseline"/>
              <w:rPr>
                <w:sz w:val="21"/>
                <w:szCs w:val="21"/>
                <w:lang w:val="en-US" w:eastAsia="fi-FI"/>
              </w:rPr>
            </w:pPr>
            <w:r>
              <w:rPr>
                <w:rFonts w:ascii="Times" w:hAnsi="Times" w:cs="Times"/>
                <w:sz w:val="21"/>
                <w:szCs w:val="21"/>
                <w:lang w:val="en-US" w:eastAsia="fi-FI"/>
              </w:rPr>
              <w:t xml:space="preserve">The RS used for RLM should have following properties </w:t>
            </w:r>
          </w:p>
          <w:p w14:paraId="5C41FC11" w14:textId="77777777" w:rsidR="00777437" w:rsidRDefault="00777437" w:rsidP="00777437">
            <w:pPr>
              <w:numPr>
                <w:ilvl w:val="1"/>
                <w:numId w:val="6"/>
              </w:numPr>
              <w:spacing w:after="0"/>
              <w:ind w:left="2606"/>
              <w:textAlignment w:val="baseline"/>
              <w:rPr>
                <w:lang w:val="en-US" w:eastAsia="fi-FI"/>
              </w:rPr>
            </w:pPr>
            <w:r>
              <w:rPr>
                <w:rFonts w:ascii="Times" w:hAnsi="Times" w:cs="Times"/>
                <w:lang w:val="en-US" w:eastAsia="fi-FI"/>
              </w:rPr>
              <w:t>Periodic transmission with short enough periodicity</w:t>
            </w:r>
          </w:p>
          <w:p w14:paraId="6A6FEF9D" w14:textId="77777777" w:rsidR="00777437" w:rsidRDefault="00777437" w:rsidP="00777437">
            <w:pPr>
              <w:numPr>
                <w:ilvl w:val="1"/>
                <w:numId w:val="6"/>
              </w:numPr>
              <w:spacing w:after="0"/>
              <w:ind w:left="2606"/>
              <w:textAlignment w:val="baseline"/>
              <w:rPr>
                <w:lang w:val="en-US" w:eastAsia="fi-FI"/>
              </w:rPr>
            </w:pPr>
            <w:r>
              <w:rPr>
                <w:rFonts w:ascii="Times" w:hAnsi="Times" w:cs="Times"/>
                <w:lang w:val="en-US" w:eastAsia="fi-FI"/>
              </w:rPr>
              <w:t>Wideband transmission relative to bandwidth of active bandwidth part</w:t>
            </w:r>
          </w:p>
          <w:p w14:paraId="63485943" w14:textId="77777777" w:rsidR="00777437" w:rsidRDefault="00777437" w:rsidP="00777437">
            <w:pPr>
              <w:numPr>
                <w:ilvl w:val="1"/>
                <w:numId w:val="6"/>
              </w:numPr>
              <w:spacing w:after="0"/>
              <w:ind w:left="2606"/>
              <w:textAlignment w:val="baseline"/>
              <w:rPr>
                <w:lang w:val="en-US" w:eastAsia="fi-FI"/>
              </w:rPr>
            </w:pPr>
            <w:r>
              <w:rPr>
                <w:rFonts w:ascii="Times" w:hAnsi="Times" w:cs="Times"/>
                <w:lang w:val="en-US" w:eastAsia="fi-FI"/>
              </w:rPr>
              <w:t>Supporting both single beam and multi-beam operations</w:t>
            </w:r>
          </w:p>
          <w:p w14:paraId="69954983" w14:textId="77777777" w:rsidR="00777437" w:rsidRDefault="00777437" w:rsidP="00777437">
            <w:pPr>
              <w:numPr>
                <w:ilvl w:val="1"/>
                <w:numId w:val="6"/>
              </w:numPr>
              <w:spacing w:after="0"/>
              <w:ind w:left="2606"/>
              <w:textAlignment w:val="baseline"/>
              <w:rPr>
                <w:lang w:val="fi-FI" w:eastAsia="fi-FI"/>
              </w:rPr>
            </w:pPr>
            <w:r>
              <w:rPr>
                <w:rFonts w:ascii="Times" w:hAnsi="Times" w:cs="Times"/>
                <w:lang w:val="en-US" w:eastAsia="fi-FI"/>
              </w:rPr>
              <w:t>Representing control channel quality</w:t>
            </w:r>
          </w:p>
          <w:p w14:paraId="1F320F31" w14:textId="77777777" w:rsidR="00777437" w:rsidRDefault="00777437" w:rsidP="00777437">
            <w:pPr>
              <w:numPr>
                <w:ilvl w:val="0"/>
                <w:numId w:val="6"/>
              </w:numPr>
              <w:spacing w:after="0"/>
              <w:ind w:left="1267"/>
              <w:textAlignment w:val="baseline"/>
              <w:rPr>
                <w:sz w:val="21"/>
                <w:szCs w:val="21"/>
                <w:lang w:val="en-US" w:eastAsia="fi-FI"/>
              </w:rPr>
            </w:pPr>
            <w:r>
              <w:rPr>
                <w:rFonts w:ascii="Times" w:hAnsi="Times" w:cs="Times"/>
                <w:sz w:val="21"/>
                <w:szCs w:val="21"/>
                <w:lang w:val="en-US" w:eastAsia="fi-FI"/>
              </w:rPr>
              <w:t>Both CSI-RS based RLM and SS block based RLM are supported</w:t>
            </w:r>
          </w:p>
          <w:p w14:paraId="5E7D9427" w14:textId="77777777" w:rsidR="00777437" w:rsidRDefault="00777437" w:rsidP="00777437">
            <w:pPr>
              <w:numPr>
                <w:ilvl w:val="1"/>
                <w:numId w:val="6"/>
              </w:numPr>
              <w:spacing w:after="0"/>
              <w:ind w:left="2606"/>
              <w:textAlignment w:val="baseline"/>
              <w:rPr>
                <w:lang w:val="en-US" w:eastAsia="fi-FI"/>
              </w:rPr>
            </w:pPr>
            <w:r>
              <w:rPr>
                <w:rFonts w:ascii="Times" w:hAnsi="Times" w:cs="Times"/>
                <w:lang w:val="en-US" w:eastAsia="fi-FI"/>
              </w:rPr>
              <w:t>FFS: whether or not only a single type of RS is configured to UE for RLM at a time</w:t>
            </w:r>
          </w:p>
          <w:p w14:paraId="4D9B5FC5" w14:textId="77777777" w:rsidR="00777437" w:rsidRDefault="00777437" w:rsidP="00777437">
            <w:pPr>
              <w:spacing w:after="0"/>
              <w:rPr>
                <w:lang w:val="en-US"/>
              </w:rPr>
            </w:pPr>
          </w:p>
        </w:tc>
      </w:tr>
    </w:tbl>
    <w:p w14:paraId="3F34A38D" w14:textId="6B2BE136" w:rsidR="00777437" w:rsidRDefault="00777437" w:rsidP="00777437">
      <w:pPr>
        <w:spacing w:after="0"/>
        <w:rPr>
          <w:lang w:val="en-US"/>
        </w:rPr>
      </w:pPr>
    </w:p>
    <w:p w14:paraId="0D6BC5B0" w14:textId="33EE808E" w:rsidR="00777437" w:rsidRDefault="00777437" w:rsidP="00777437">
      <w:pPr>
        <w:spacing w:after="0"/>
        <w:jc w:val="both"/>
        <w:rPr>
          <w:lang w:val="en-US"/>
        </w:rPr>
      </w:pPr>
      <w:r>
        <w:rPr>
          <w:lang w:val="en-US"/>
        </w:rPr>
        <w:t>The cited agreements require some follow-up actions from RAN2, which is the subject of this contribution. Since the case where different RS is used for beam failure recovery and RLM procedures is still u</w:t>
      </w:r>
      <w:r w:rsidR="00175613">
        <w:rPr>
          <w:lang w:val="en-US"/>
        </w:rPr>
        <w:t>n</w:t>
      </w:r>
      <w:r>
        <w:rPr>
          <w:lang w:val="en-US"/>
        </w:rPr>
        <w:t>der study in RAN1, all the considerations contained in this paper relate to the case in which the same RS is used for both procedures.</w:t>
      </w:r>
    </w:p>
    <w:p w14:paraId="5EB6B028" w14:textId="3564D089" w:rsidR="00DF3D05" w:rsidRPr="000E6EDF" w:rsidRDefault="00DF3D05" w:rsidP="00DF3D05">
      <w:pPr>
        <w:pStyle w:val="Heading1"/>
        <w:rPr>
          <w:lang w:val="en-US"/>
        </w:rPr>
      </w:pPr>
      <w:r w:rsidRPr="000E6EDF">
        <w:rPr>
          <w:lang w:val="en-US"/>
        </w:rPr>
        <w:t>2</w:t>
      </w:r>
      <w:r w:rsidRPr="000E6EDF">
        <w:rPr>
          <w:lang w:val="en-US"/>
        </w:rPr>
        <w:tab/>
      </w:r>
      <w:r w:rsidR="00777437">
        <w:rPr>
          <w:lang w:val="en-US"/>
        </w:rPr>
        <w:t>Discussion</w:t>
      </w:r>
    </w:p>
    <w:p w14:paraId="2C4A980D" w14:textId="633D3FD7" w:rsidR="00C002DC" w:rsidRDefault="00777437" w:rsidP="00777437">
      <w:pPr>
        <w:keepNext/>
        <w:keepLines/>
        <w:jc w:val="both"/>
        <w:rPr>
          <w:lang w:val="en-US"/>
        </w:rPr>
      </w:pPr>
      <w:r w:rsidRPr="00777437">
        <w:rPr>
          <w:lang w:val="en-US"/>
        </w:rPr>
        <w:t xml:space="preserve">RAN1 </w:t>
      </w:r>
      <w:r>
        <w:rPr>
          <w:lang w:val="en-US"/>
        </w:rPr>
        <w:t>agreements contain two examples, which we discuss one by one:</w:t>
      </w:r>
    </w:p>
    <w:tbl>
      <w:tblPr>
        <w:tblStyle w:val="TableGrid"/>
        <w:tblW w:w="0" w:type="auto"/>
        <w:tblLook w:val="04A0" w:firstRow="1" w:lastRow="0" w:firstColumn="1" w:lastColumn="0" w:noHBand="0" w:noVBand="1"/>
      </w:tblPr>
      <w:tblGrid>
        <w:gridCol w:w="9631"/>
      </w:tblGrid>
      <w:tr w:rsidR="00777437" w14:paraId="12A6CCAE" w14:textId="77777777" w:rsidTr="00777437">
        <w:tc>
          <w:tcPr>
            <w:tcW w:w="9631" w:type="dxa"/>
          </w:tcPr>
          <w:p w14:paraId="2406E649" w14:textId="77777777" w:rsidR="00777437" w:rsidRDefault="00777437" w:rsidP="00777437">
            <w:pPr>
              <w:numPr>
                <w:ilvl w:val="1"/>
                <w:numId w:val="5"/>
              </w:numPr>
              <w:spacing w:after="0"/>
              <w:rPr>
                <w:lang w:val="en-US"/>
              </w:rPr>
            </w:pPr>
            <w:r>
              <w:t>Example 1: aperiodic indication(s) based on beam failure recovery procedure can reset/stop T310</w:t>
            </w:r>
          </w:p>
          <w:p w14:paraId="7773057F" w14:textId="1B98E352" w:rsidR="00777437" w:rsidRPr="0019529E" w:rsidRDefault="00777437" w:rsidP="0019529E">
            <w:pPr>
              <w:numPr>
                <w:ilvl w:val="2"/>
                <w:numId w:val="5"/>
              </w:numPr>
              <w:spacing w:after="0"/>
              <w:rPr>
                <w:lang w:val="fi-FI"/>
              </w:rPr>
            </w:pPr>
            <w:r>
              <w:lastRenderedPageBreak/>
              <w:t>RAN2 can decide specific procedure</w:t>
            </w:r>
          </w:p>
        </w:tc>
      </w:tr>
    </w:tbl>
    <w:p w14:paraId="3FC70DD2" w14:textId="731C53CF" w:rsidR="00777437" w:rsidRDefault="00777437" w:rsidP="00777437">
      <w:pPr>
        <w:keepNext/>
        <w:keepLines/>
        <w:jc w:val="both"/>
        <w:rPr>
          <w:lang w:val="en-US"/>
        </w:rPr>
      </w:pPr>
    </w:p>
    <w:p w14:paraId="20C832C6" w14:textId="46AE7139" w:rsidR="00777437" w:rsidRDefault="00777437" w:rsidP="00777437">
      <w:pPr>
        <w:keepNext/>
        <w:keepLines/>
        <w:jc w:val="both"/>
        <w:rPr>
          <w:lang w:val="en-US"/>
        </w:rPr>
      </w:pPr>
      <w:r>
        <w:rPr>
          <w:lang w:val="en-US"/>
        </w:rPr>
        <w:t>In this example</w:t>
      </w:r>
      <w:r w:rsidR="0019529E">
        <w:rPr>
          <w:lang w:val="en-US"/>
        </w:rPr>
        <w:t>, a</w:t>
      </w:r>
      <w:r>
        <w:rPr>
          <w:lang w:val="en-US"/>
        </w:rPr>
        <w:t xml:space="preserve"> </w:t>
      </w:r>
      <w:r w:rsidR="0019529E">
        <w:rPr>
          <w:lang w:val="en-US"/>
        </w:rPr>
        <w:t>UE has T310 running meaning that physical layer problems have already occurred. In the multi-beam radio environment, this means that there is also a problem with UE’s serving beam used for PDCCH meaning that the beam failure recovery procedure is initiated. At some point in time beam recovery is successful and the UE indicates this fact to higher layers. Higher layers</w:t>
      </w:r>
      <w:r w:rsidR="00230F96">
        <w:rPr>
          <w:lang w:val="en-US"/>
        </w:rPr>
        <w:t>,</w:t>
      </w:r>
      <w:r w:rsidR="0019529E">
        <w:rPr>
          <w:lang w:val="en-US"/>
        </w:rPr>
        <w:t xml:space="preserve"> and RLF procedure in particular</w:t>
      </w:r>
      <w:r w:rsidR="00230F96">
        <w:rPr>
          <w:lang w:val="en-US"/>
        </w:rPr>
        <w:t>,</w:t>
      </w:r>
      <w:r w:rsidR="0019529E">
        <w:rPr>
          <w:lang w:val="en-US"/>
        </w:rPr>
        <w:t xml:space="preserve"> may use this information and stop T310 timer to avoid decla</w:t>
      </w:r>
      <w:r w:rsidR="00230F96">
        <w:rPr>
          <w:lang w:val="en-US"/>
        </w:rPr>
        <w:t>ring RLF. It may be argued that,</w:t>
      </w:r>
      <w:r w:rsidR="0019529E">
        <w:rPr>
          <w:lang w:val="en-US"/>
        </w:rPr>
        <w:t xml:space="preserve"> in case beam recovery is successful, </w:t>
      </w:r>
      <w:r w:rsidR="00230F96">
        <w:rPr>
          <w:lang w:val="en-US"/>
        </w:rPr>
        <w:t xml:space="preserve">physical layer will start generating in-sync indications and upon receiving N311 consecutive indication T310 will be stopped anyway. Therefore, with a diligent and consistent configuration </w:t>
      </w:r>
      <w:r w:rsidR="00EC6CED">
        <w:rPr>
          <w:lang w:val="en-US"/>
        </w:rPr>
        <w:t>of beam recovery and RLF related parameters, the procedures could be completely separated. On the other hand, if such aperiodic indications exist, we see no reason not to use to ensure that RLFs are not declared unnecessarily.</w:t>
      </w:r>
    </w:p>
    <w:p w14:paraId="2D3A6C3A" w14:textId="66F63B67" w:rsidR="00EC6CED" w:rsidRPr="00EC6CED" w:rsidRDefault="00EC6CED" w:rsidP="00777437">
      <w:pPr>
        <w:keepNext/>
        <w:keepLines/>
        <w:jc w:val="both"/>
        <w:rPr>
          <w:b/>
          <w:lang w:val="en-US"/>
        </w:rPr>
      </w:pPr>
      <w:r>
        <w:rPr>
          <w:b/>
          <w:lang w:val="en-US"/>
        </w:rPr>
        <w:t xml:space="preserve">Proposal 1: Upon receiving aperiodic indication from lower layers about successful beam recovery, UE stops </w:t>
      </w:r>
      <w:r w:rsidR="00C15F32">
        <w:rPr>
          <w:b/>
          <w:lang w:val="en-US"/>
        </w:rPr>
        <w:t xml:space="preserve">the </w:t>
      </w:r>
      <w:r>
        <w:rPr>
          <w:b/>
          <w:lang w:val="en-US"/>
        </w:rPr>
        <w:t>running T310 timer.</w:t>
      </w:r>
    </w:p>
    <w:p w14:paraId="3884F67D" w14:textId="2BCAFCB6" w:rsidR="00CD4C7B" w:rsidRDefault="00EC6CED" w:rsidP="004302F3">
      <w:pPr>
        <w:keepNext/>
        <w:keepLines/>
      </w:pPr>
      <w:r>
        <w:t>The second case is following:</w:t>
      </w:r>
    </w:p>
    <w:tbl>
      <w:tblPr>
        <w:tblStyle w:val="TableGrid"/>
        <w:tblW w:w="0" w:type="auto"/>
        <w:tblLook w:val="04A0" w:firstRow="1" w:lastRow="0" w:firstColumn="1" w:lastColumn="0" w:noHBand="0" w:noVBand="1"/>
      </w:tblPr>
      <w:tblGrid>
        <w:gridCol w:w="9631"/>
      </w:tblGrid>
      <w:tr w:rsidR="00EC6CED" w14:paraId="67367CC9" w14:textId="77777777" w:rsidTr="00EC6CED">
        <w:tc>
          <w:tcPr>
            <w:tcW w:w="9631" w:type="dxa"/>
          </w:tcPr>
          <w:p w14:paraId="305E0CE1" w14:textId="77777777" w:rsidR="00EC6CED" w:rsidRDefault="00EC6CED" w:rsidP="00EC6CED">
            <w:pPr>
              <w:numPr>
                <w:ilvl w:val="1"/>
                <w:numId w:val="5"/>
              </w:numPr>
              <w:spacing w:after="0"/>
              <w:rPr>
                <w:lang w:val="en-US"/>
              </w:rPr>
            </w:pPr>
            <w:r>
              <w:t>Example 2: aperiodic indication(s) based on failure of beam recovery procedure</w:t>
            </w:r>
          </w:p>
          <w:p w14:paraId="2D99253E" w14:textId="372E1F8F" w:rsidR="00EC6CED" w:rsidRPr="00EC6CED" w:rsidRDefault="00EC6CED" w:rsidP="00EC6CED">
            <w:pPr>
              <w:numPr>
                <w:ilvl w:val="2"/>
                <w:numId w:val="5"/>
              </w:numPr>
              <w:spacing w:after="0"/>
              <w:rPr>
                <w:lang w:val="en-US"/>
              </w:rPr>
            </w:pPr>
            <w:r>
              <w:t>How to use aperiodic indication can be decided in RAN2</w:t>
            </w:r>
          </w:p>
        </w:tc>
      </w:tr>
    </w:tbl>
    <w:p w14:paraId="254DA105" w14:textId="7F7D79B3" w:rsidR="00EC6CED" w:rsidRDefault="00EC6CED" w:rsidP="004302F3">
      <w:pPr>
        <w:keepNext/>
        <w:keepLines/>
      </w:pPr>
    </w:p>
    <w:p w14:paraId="0BB2D68B" w14:textId="787E5BF6" w:rsidR="00EC6CED" w:rsidRDefault="00EC6CED" w:rsidP="003214B8">
      <w:pPr>
        <w:keepNext/>
        <w:keepLines/>
        <w:jc w:val="both"/>
      </w:pPr>
      <w:r>
        <w:t xml:space="preserve">In this example, UE receives an indication that a beam failure recovery procedure failed, meaning that UE refrains from further beam recovery attempts. It is very likely (if not certain) that in such situation T310 timer in the UE is running. It may be again argued whether such aperiodic indication should be used by the UE to declare RLF right-away or not (and waiting for T310 to expire before doing that). </w:t>
      </w:r>
      <w:r w:rsidR="003214B8">
        <w:t>The answer to this question depends highly on wh</w:t>
      </w:r>
      <w:r w:rsidR="007F58D9">
        <w:t>ether there is still a chance for a UE to recover from radio link problems and avoid RLF. Otherwise, it would be unreasonable to simply wait for T310 expiry as this would lead to degraded service performance. For example, is it possible for the UE</w:t>
      </w:r>
      <w:r w:rsidR="00C15F32">
        <w:t>’</w:t>
      </w:r>
      <w:r w:rsidR="007F58D9">
        <w:t>s serving beam to become available again, e.g. could it be “lost” due to blockage, which disappears after a certain time allowing UE to continue normal operation? Or could the UE, upon failure of beam recovery procedure, attempt to reobtain connectivity with a cell via contention based random access procedure? We think that such discussion is needed before deciding on how aperiodic indication about beam recovery failure can be used by RLM.</w:t>
      </w:r>
    </w:p>
    <w:p w14:paraId="0A0B5889" w14:textId="78AADCDA" w:rsidR="007F58D9" w:rsidRPr="007F58D9" w:rsidRDefault="007F58D9" w:rsidP="003214B8">
      <w:pPr>
        <w:keepNext/>
        <w:keepLines/>
        <w:jc w:val="both"/>
        <w:rPr>
          <w:b/>
        </w:rPr>
      </w:pPr>
      <w:r>
        <w:rPr>
          <w:b/>
        </w:rPr>
        <w:t xml:space="preserve">Proposal 2: RAN2 </w:t>
      </w:r>
      <w:r w:rsidR="00C15F32">
        <w:rPr>
          <w:b/>
        </w:rPr>
        <w:t xml:space="preserve">is kindly requested </w:t>
      </w:r>
      <w:r>
        <w:rPr>
          <w:b/>
        </w:rPr>
        <w:t>to discuss whether UE, which indicated beam recovery procedure failure, has still a chance to regain connectivity to the serving cell and avoid RLF.</w:t>
      </w:r>
    </w:p>
    <w:p w14:paraId="43A12B72" w14:textId="5DD42564" w:rsidR="00CD4C7B" w:rsidRPr="00481BA3" w:rsidRDefault="00672CE5" w:rsidP="004302F3">
      <w:pPr>
        <w:pStyle w:val="Heading1"/>
        <w:rPr>
          <w:lang w:val="en-US"/>
        </w:rPr>
      </w:pPr>
      <w:r w:rsidRPr="00481BA3">
        <w:rPr>
          <w:lang w:val="en-US"/>
        </w:rPr>
        <w:t>3</w:t>
      </w:r>
      <w:r w:rsidR="00CD4C7B" w:rsidRPr="00481BA3">
        <w:rPr>
          <w:lang w:val="en-US"/>
        </w:rPr>
        <w:tab/>
      </w:r>
      <w:r w:rsidR="00750A76" w:rsidRPr="00481BA3">
        <w:rPr>
          <w:lang w:val="en-US"/>
        </w:rPr>
        <w:t>Summary</w:t>
      </w:r>
    </w:p>
    <w:p w14:paraId="04AB7DFC" w14:textId="7469EBC7" w:rsidR="004B1D8F" w:rsidRDefault="007F58D9" w:rsidP="00777437">
      <w:pPr>
        <w:keepNext/>
        <w:keepLines/>
        <w:jc w:val="both"/>
        <w:rPr>
          <w:lang w:val="en-US"/>
        </w:rPr>
      </w:pPr>
      <w:r w:rsidRPr="007F58D9">
        <w:rPr>
          <w:lang w:val="en-US"/>
        </w:rPr>
        <w:t>In this contribution</w:t>
      </w:r>
      <w:r>
        <w:rPr>
          <w:lang w:val="en-US"/>
        </w:rPr>
        <w:t>,</w:t>
      </w:r>
      <w:r w:rsidRPr="007F58D9">
        <w:rPr>
          <w:lang w:val="en-US"/>
        </w:rPr>
        <w:t xml:space="preserve"> we shortly discuss </w:t>
      </w:r>
      <w:r>
        <w:rPr>
          <w:lang w:val="en-US"/>
        </w:rPr>
        <w:t>how the aperiodic indications concerning beam recovery received from lower layers can be used by the UE in RLM process. Based on the presented considerations, the following is proposed:</w:t>
      </w:r>
    </w:p>
    <w:p w14:paraId="2776505F" w14:textId="45E8E0ED" w:rsidR="007F58D9" w:rsidRPr="00EC6CED" w:rsidRDefault="007F58D9" w:rsidP="007F58D9">
      <w:pPr>
        <w:keepNext/>
        <w:keepLines/>
        <w:jc w:val="both"/>
        <w:rPr>
          <w:b/>
          <w:lang w:val="en-US"/>
        </w:rPr>
      </w:pPr>
      <w:r>
        <w:rPr>
          <w:b/>
          <w:lang w:val="en-US"/>
        </w:rPr>
        <w:t xml:space="preserve">Proposal 1: Upon receiving aperiodic indication from lower layers about successful beam recovery, UE stops </w:t>
      </w:r>
      <w:r w:rsidR="00C15F32">
        <w:rPr>
          <w:b/>
          <w:lang w:val="en-US"/>
        </w:rPr>
        <w:t xml:space="preserve">the </w:t>
      </w:r>
      <w:r>
        <w:rPr>
          <w:b/>
          <w:lang w:val="en-US"/>
        </w:rPr>
        <w:t>running T310 timer.</w:t>
      </w:r>
    </w:p>
    <w:p w14:paraId="35F222F4" w14:textId="70F0F252" w:rsidR="00080512" w:rsidRPr="007F58D9" w:rsidRDefault="007F58D9" w:rsidP="007F58D9">
      <w:pPr>
        <w:keepNext/>
        <w:keepLines/>
        <w:jc w:val="both"/>
        <w:rPr>
          <w:b/>
        </w:rPr>
      </w:pPr>
      <w:r>
        <w:rPr>
          <w:b/>
        </w:rPr>
        <w:t xml:space="preserve">Proposal 2: </w:t>
      </w:r>
      <w:r w:rsidR="00C15F32">
        <w:rPr>
          <w:b/>
        </w:rPr>
        <w:t>RAN2 is kindly requested to discuss whether UE, which indicated beam recovery procedure failure, has still a chance to regain connectivity to the serving cell and avoid RLF.</w:t>
      </w:r>
    </w:p>
    <w:sectPr w:rsidR="00080512" w:rsidRPr="007F58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79EC1" w14:textId="77777777" w:rsidR="00F60F89" w:rsidRDefault="00F60F89">
      <w:r>
        <w:separator/>
      </w:r>
    </w:p>
  </w:endnote>
  <w:endnote w:type="continuationSeparator" w:id="0">
    <w:p w14:paraId="0742F2B8" w14:textId="77777777" w:rsidR="00F60F89" w:rsidRDefault="00F60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96C7B" w14:textId="77777777" w:rsidR="00F60F89" w:rsidRDefault="00F60F89">
      <w:r>
        <w:separator/>
      </w:r>
    </w:p>
  </w:footnote>
  <w:footnote w:type="continuationSeparator" w:id="0">
    <w:p w14:paraId="24826F82" w14:textId="77777777" w:rsidR="00F60F89" w:rsidRDefault="00F60F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9284468"/>
    <w:multiLevelType w:val="hybridMultilevel"/>
    <w:tmpl w:val="F56E3E58"/>
    <w:lvl w:ilvl="0" w:tplc="3ED6F0E0">
      <w:start w:val="1"/>
      <w:numFmt w:val="bullet"/>
      <w:lvlText w:val="•"/>
      <w:lvlJc w:val="left"/>
      <w:pPr>
        <w:tabs>
          <w:tab w:val="num" w:pos="720"/>
        </w:tabs>
        <w:ind w:left="720" w:hanging="360"/>
      </w:pPr>
      <w:rPr>
        <w:rFonts w:ascii="Arial" w:hAnsi="Arial" w:cs="Times New Roman" w:hint="default"/>
      </w:rPr>
    </w:lvl>
    <w:lvl w:ilvl="1" w:tplc="87BA642A">
      <w:numFmt w:val="bullet"/>
      <w:lvlText w:val="–"/>
      <w:lvlJc w:val="left"/>
      <w:pPr>
        <w:tabs>
          <w:tab w:val="num" w:pos="1440"/>
        </w:tabs>
        <w:ind w:left="1440" w:hanging="360"/>
      </w:pPr>
      <w:rPr>
        <w:rFonts w:ascii="Arial" w:hAnsi="Arial" w:cs="Times New Roman" w:hint="default"/>
      </w:rPr>
    </w:lvl>
    <w:lvl w:ilvl="2" w:tplc="3A6A74B6">
      <w:start w:val="1"/>
      <w:numFmt w:val="bullet"/>
      <w:lvlText w:val="•"/>
      <w:lvlJc w:val="left"/>
      <w:pPr>
        <w:tabs>
          <w:tab w:val="num" w:pos="2160"/>
        </w:tabs>
        <w:ind w:left="2160" w:hanging="360"/>
      </w:pPr>
      <w:rPr>
        <w:rFonts w:ascii="Arial" w:hAnsi="Arial" w:cs="Times New Roman" w:hint="default"/>
      </w:rPr>
    </w:lvl>
    <w:lvl w:ilvl="3" w:tplc="0598F5F6">
      <w:start w:val="1"/>
      <w:numFmt w:val="bullet"/>
      <w:lvlText w:val="•"/>
      <w:lvlJc w:val="left"/>
      <w:pPr>
        <w:tabs>
          <w:tab w:val="num" w:pos="2880"/>
        </w:tabs>
        <w:ind w:left="2880" w:hanging="360"/>
      </w:pPr>
      <w:rPr>
        <w:rFonts w:ascii="Arial" w:hAnsi="Arial" w:cs="Times New Roman" w:hint="default"/>
      </w:rPr>
    </w:lvl>
    <w:lvl w:ilvl="4" w:tplc="6762A10C">
      <w:start w:val="1"/>
      <w:numFmt w:val="bullet"/>
      <w:lvlText w:val="•"/>
      <w:lvlJc w:val="left"/>
      <w:pPr>
        <w:tabs>
          <w:tab w:val="num" w:pos="3600"/>
        </w:tabs>
        <w:ind w:left="3600" w:hanging="360"/>
      </w:pPr>
      <w:rPr>
        <w:rFonts w:ascii="Arial" w:hAnsi="Arial" w:cs="Times New Roman" w:hint="default"/>
      </w:rPr>
    </w:lvl>
    <w:lvl w:ilvl="5" w:tplc="F502D6E2">
      <w:start w:val="1"/>
      <w:numFmt w:val="bullet"/>
      <w:lvlText w:val="•"/>
      <w:lvlJc w:val="left"/>
      <w:pPr>
        <w:tabs>
          <w:tab w:val="num" w:pos="4320"/>
        </w:tabs>
        <w:ind w:left="4320" w:hanging="360"/>
      </w:pPr>
      <w:rPr>
        <w:rFonts w:ascii="Arial" w:hAnsi="Arial" w:cs="Times New Roman" w:hint="default"/>
      </w:rPr>
    </w:lvl>
    <w:lvl w:ilvl="6" w:tplc="35788B8A">
      <w:start w:val="1"/>
      <w:numFmt w:val="bullet"/>
      <w:lvlText w:val="•"/>
      <w:lvlJc w:val="left"/>
      <w:pPr>
        <w:tabs>
          <w:tab w:val="num" w:pos="5040"/>
        </w:tabs>
        <w:ind w:left="5040" w:hanging="360"/>
      </w:pPr>
      <w:rPr>
        <w:rFonts w:ascii="Arial" w:hAnsi="Arial" w:cs="Times New Roman" w:hint="default"/>
      </w:rPr>
    </w:lvl>
    <w:lvl w:ilvl="7" w:tplc="B4605314">
      <w:start w:val="1"/>
      <w:numFmt w:val="bullet"/>
      <w:lvlText w:val="•"/>
      <w:lvlJc w:val="left"/>
      <w:pPr>
        <w:tabs>
          <w:tab w:val="num" w:pos="5760"/>
        </w:tabs>
        <w:ind w:left="5760" w:hanging="360"/>
      </w:pPr>
      <w:rPr>
        <w:rFonts w:ascii="Arial" w:hAnsi="Arial" w:cs="Times New Roman" w:hint="default"/>
      </w:rPr>
    </w:lvl>
    <w:lvl w:ilvl="8" w:tplc="B1CA2822">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D13D6"/>
    <w:multiLevelType w:val="hybridMultilevel"/>
    <w:tmpl w:val="3B6C20E0"/>
    <w:lvl w:ilvl="0" w:tplc="817A9AD8">
      <w:start w:val="1"/>
      <w:numFmt w:val="bullet"/>
      <w:lvlText w:val="•"/>
      <w:lvlJc w:val="left"/>
      <w:pPr>
        <w:tabs>
          <w:tab w:val="num" w:pos="720"/>
        </w:tabs>
        <w:ind w:left="720" w:hanging="360"/>
      </w:pPr>
      <w:rPr>
        <w:rFonts w:ascii="Arial" w:hAnsi="Arial" w:cs="Times New Roman" w:hint="default"/>
      </w:rPr>
    </w:lvl>
    <w:lvl w:ilvl="1" w:tplc="FF4A5ACA">
      <w:numFmt w:val="bullet"/>
      <w:lvlText w:val="–"/>
      <w:lvlJc w:val="left"/>
      <w:pPr>
        <w:tabs>
          <w:tab w:val="num" w:pos="1440"/>
        </w:tabs>
        <w:ind w:left="1440" w:hanging="360"/>
      </w:pPr>
      <w:rPr>
        <w:rFonts w:ascii="Arial" w:hAnsi="Arial" w:cs="Times New Roman" w:hint="default"/>
      </w:rPr>
    </w:lvl>
    <w:lvl w:ilvl="2" w:tplc="4AAE64C6">
      <w:numFmt w:val="bullet"/>
      <w:lvlText w:val="•"/>
      <w:lvlJc w:val="left"/>
      <w:pPr>
        <w:tabs>
          <w:tab w:val="num" w:pos="2160"/>
        </w:tabs>
        <w:ind w:left="2160" w:hanging="360"/>
      </w:pPr>
      <w:rPr>
        <w:rFonts w:ascii="Arial" w:hAnsi="Arial" w:cs="Times New Roman" w:hint="default"/>
      </w:rPr>
    </w:lvl>
    <w:lvl w:ilvl="3" w:tplc="97E4A2CA">
      <w:start w:val="1"/>
      <w:numFmt w:val="bullet"/>
      <w:lvlText w:val="•"/>
      <w:lvlJc w:val="left"/>
      <w:pPr>
        <w:tabs>
          <w:tab w:val="num" w:pos="2880"/>
        </w:tabs>
        <w:ind w:left="2880" w:hanging="360"/>
      </w:pPr>
      <w:rPr>
        <w:rFonts w:ascii="Arial" w:hAnsi="Arial" w:cs="Times New Roman" w:hint="default"/>
      </w:rPr>
    </w:lvl>
    <w:lvl w:ilvl="4" w:tplc="B3F6867E">
      <w:start w:val="1"/>
      <w:numFmt w:val="bullet"/>
      <w:lvlText w:val="•"/>
      <w:lvlJc w:val="left"/>
      <w:pPr>
        <w:tabs>
          <w:tab w:val="num" w:pos="3600"/>
        </w:tabs>
        <w:ind w:left="3600" w:hanging="360"/>
      </w:pPr>
      <w:rPr>
        <w:rFonts w:ascii="Arial" w:hAnsi="Arial" w:cs="Times New Roman" w:hint="default"/>
      </w:rPr>
    </w:lvl>
    <w:lvl w:ilvl="5" w:tplc="23943152">
      <w:start w:val="1"/>
      <w:numFmt w:val="bullet"/>
      <w:lvlText w:val="•"/>
      <w:lvlJc w:val="left"/>
      <w:pPr>
        <w:tabs>
          <w:tab w:val="num" w:pos="4320"/>
        </w:tabs>
        <w:ind w:left="4320" w:hanging="360"/>
      </w:pPr>
      <w:rPr>
        <w:rFonts w:ascii="Arial" w:hAnsi="Arial" w:cs="Times New Roman" w:hint="default"/>
      </w:rPr>
    </w:lvl>
    <w:lvl w:ilvl="6" w:tplc="87F40380">
      <w:start w:val="1"/>
      <w:numFmt w:val="bullet"/>
      <w:lvlText w:val="•"/>
      <w:lvlJc w:val="left"/>
      <w:pPr>
        <w:tabs>
          <w:tab w:val="num" w:pos="5040"/>
        </w:tabs>
        <w:ind w:left="5040" w:hanging="360"/>
      </w:pPr>
      <w:rPr>
        <w:rFonts w:ascii="Arial" w:hAnsi="Arial" w:cs="Times New Roman" w:hint="default"/>
      </w:rPr>
    </w:lvl>
    <w:lvl w:ilvl="7" w:tplc="C5ECA762">
      <w:start w:val="1"/>
      <w:numFmt w:val="bullet"/>
      <w:lvlText w:val="•"/>
      <w:lvlJc w:val="left"/>
      <w:pPr>
        <w:tabs>
          <w:tab w:val="num" w:pos="5760"/>
        </w:tabs>
        <w:ind w:left="5760" w:hanging="360"/>
      </w:pPr>
      <w:rPr>
        <w:rFonts w:ascii="Arial" w:hAnsi="Arial" w:cs="Times New Roman" w:hint="default"/>
      </w:rPr>
    </w:lvl>
    <w:lvl w:ilvl="8" w:tplc="DFECDCF0">
      <w:start w:val="1"/>
      <w:numFmt w:val="bullet"/>
      <w:lvlText w:val="•"/>
      <w:lvlJc w:val="left"/>
      <w:pPr>
        <w:tabs>
          <w:tab w:val="num" w:pos="6480"/>
        </w:tabs>
        <w:ind w:left="6480" w:hanging="360"/>
      </w:pPr>
      <w:rPr>
        <w:rFonts w:ascii="Arial" w:hAnsi="Arial"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206C"/>
    <w:rsid w:val="000B7BCF"/>
    <w:rsid w:val="000C522B"/>
    <w:rsid w:val="000D58AB"/>
    <w:rsid w:val="000E6EDF"/>
    <w:rsid w:val="00112F1A"/>
    <w:rsid w:val="00145075"/>
    <w:rsid w:val="001741A0"/>
    <w:rsid w:val="00175613"/>
    <w:rsid w:val="00194CD0"/>
    <w:rsid w:val="0019529E"/>
    <w:rsid w:val="001B43A4"/>
    <w:rsid w:val="001B49C9"/>
    <w:rsid w:val="001F168B"/>
    <w:rsid w:val="001F59B9"/>
    <w:rsid w:val="001F7831"/>
    <w:rsid w:val="00204045"/>
    <w:rsid w:val="0022606D"/>
    <w:rsid w:val="00230F96"/>
    <w:rsid w:val="002747EC"/>
    <w:rsid w:val="002855BF"/>
    <w:rsid w:val="002F06E0"/>
    <w:rsid w:val="002F0D22"/>
    <w:rsid w:val="003172DC"/>
    <w:rsid w:val="003214B8"/>
    <w:rsid w:val="00326069"/>
    <w:rsid w:val="0035462D"/>
    <w:rsid w:val="003A1C49"/>
    <w:rsid w:val="003B40AD"/>
    <w:rsid w:val="003B547A"/>
    <w:rsid w:val="003C4E37"/>
    <w:rsid w:val="003E16BE"/>
    <w:rsid w:val="003F2044"/>
    <w:rsid w:val="004006E8"/>
    <w:rsid w:val="00401855"/>
    <w:rsid w:val="004302F3"/>
    <w:rsid w:val="004425F0"/>
    <w:rsid w:val="00477455"/>
    <w:rsid w:val="00481BA3"/>
    <w:rsid w:val="004B1D8F"/>
    <w:rsid w:val="004D3578"/>
    <w:rsid w:val="004D380D"/>
    <w:rsid w:val="004E213A"/>
    <w:rsid w:val="00503171"/>
    <w:rsid w:val="00503AC2"/>
    <w:rsid w:val="00506C28"/>
    <w:rsid w:val="00534DA0"/>
    <w:rsid w:val="005364F1"/>
    <w:rsid w:val="00543E6C"/>
    <w:rsid w:val="00565087"/>
    <w:rsid w:val="0056573F"/>
    <w:rsid w:val="00574D3B"/>
    <w:rsid w:val="005B6736"/>
    <w:rsid w:val="00607BF5"/>
    <w:rsid w:val="00611566"/>
    <w:rsid w:val="00646D99"/>
    <w:rsid w:val="00653EE1"/>
    <w:rsid w:val="00656910"/>
    <w:rsid w:val="00672CE5"/>
    <w:rsid w:val="006C47A2"/>
    <w:rsid w:val="006C66D8"/>
    <w:rsid w:val="006D1E24"/>
    <w:rsid w:val="006E1417"/>
    <w:rsid w:val="006F6A2C"/>
    <w:rsid w:val="00710201"/>
    <w:rsid w:val="00726BBE"/>
    <w:rsid w:val="007342B5"/>
    <w:rsid w:val="00734A5B"/>
    <w:rsid w:val="00744E76"/>
    <w:rsid w:val="00750A76"/>
    <w:rsid w:val="00757D40"/>
    <w:rsid w:val="00777437"/>
    <w:rsid w:val="00781F0F"/>
    <w:rsid w:val="0078727C"/>
    <w:rsid w:val="0079049D"/>
    <w:rsid w:val="007963F9"/>
    <w:rsid w:val="007B18D8"/>
    <w:rsid w:val="007C095F"/>
    <w:rsid w:val="007D4296"/>
    <w:rsid w:val="007E53C9"/>
    <w:rsid w:val="007E6545"/>
    <w:rsid w:val="007F58D9"/>
    <w:rsid w:val="008028A4"/>
    <w:rsid w:val="00807ABD"/>
    <w:rsid w:val="00813245"/>
    <w:rsid w:val="00846565"/>
    <w:rsid w:val="008768CA"/>
    <w:rsid w:val="00877EF9"/>
    <w:rsid w:val="00880559"/>
    <w:rsid w:val="008B5306"/>
    <w:rsid w:val="008C04EA"/>
    <w:rsid w:val="008E4C20"/>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15449"/>
    <w:rsid w:val="00B31D96"/>
    <w:rsid w:val="00B47FD1"/>
    <w:rsid w:val="00B516BB"/>
    <w:rsid w:val="00B870BB"/>
    <w:rsid w:val="00BA0DE6"/>
    <w:rsid w:val="00BB0DB6"/>
    <w:rsid w:val="00BE72CD"/>
    <w:rsid w:val="00BF576C"/>
    <w:rsid w:val="00C002DC"/>
    <w:rsid w:val="00C12B51"/>
    <w:rsid w:val="00C15F32"/>
    <w:rsid w:val="00C24650"/>
    <w:rsid w:val="00C264FE"/>
    <w:rsid w:val="00C33079"/>
    <w:rsid w:val="00C55176"/>
    <w:rsid w:val="00C83A13"/>
    <w:rsid w:val="00C9068C"/>
    <w:rsid w:val="00C92967"/>
    <w:rsid w:val="00CA3D0C"/>
    <w:rsid w:val="00CA654B"/>
    <w:rsid w:val="00CD4C7B"/>
    <w:rsid w:val="00D376D6"/>
    <w:rsid w:val="00D52281"/>
    <w:rsid w:val="00D62625"/>
    <w:rsid w:val="00D738D6"/>
    <w:rsid w:val="00D80795"/>
    <w:rsid w:val="00D854BE"/>
    <w:rsid w:val="00D87E00"/>
    <w:rsid w:val="00D9134D"/>
    <w:rsid w:val="00D96D11"/>
    <w:rsid w:val="00DA7A03"/>
    <w:rsid w:val="00DB1818"/>
    <w:rsid w:val="00DC309B"/>
    <w:rsid w:val="00DC4DA2"/>
    <w:rsid w:val="00DF3D05"/>
    <w:rsid w:val="00E37CAC"/>
    <w:rsid w:val="00E62835"/>
    <w:rsid w:val="00E77645"/>
    <w:rsid w:val="00E83697"/>
    <w:rsid w:val="00EC4A25"/>
    <w:rsid w:val="00EC6CED"/>
    <w:rsid w:val="00F025A2"/>
    <w:rsid w:val="00F07388"/>
    <w:rsid w:val="00F2026E"/>
    <w:rsid w:val="00F2210A"/>
    <w:rsid w:val="00F37743"/>
    <w:rsid w:val="00F54A3D"/>
    <w:rsid w:val="00F54CB0"/>
    <w:rsid w:val="00F60F89"/>
    <w:rsid w:val="00F653B8"/>
    <w:rsid w:val="00F71B89"/>
    <w:rsid w:val="00F7353C"/>
    <w:rsid w:val="00F76F8F"/>
    <w:rsid w:val="00FA1266"/>
    <w:rsid w:val="00FB36FA"/>
    <w:rsid w:val="00FC1192"/>
    <w:rsid w:val="00FD6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846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C47A2"/>
    <w:rPr>
      <w:rFonts w:ascii="Arial" w:hAnsi="Arial"/>
      <w:b/>
      <w:lang w:eastAsia="en-US"/>
    </w:rPr>
  </w:style>
  <w:style w:type="character" w:customStyle="1" w:styleId="PLChar">
    <w:name w:val="PL Char"/>
    <w:link w:val="PL"/>
    <w:rsid w:val="006C47A2"/>
    <w:rPr>
      <w:rFonts w:ascii="Courier New" w:hAnsi="Courier New"/>
      <w:noProof/>
      <w:sz w:val="16"/>
      <w:lang w:eastAsia="en-US"/>
    </w:rPr>
  </w:style>
  <w:style w:type="paragraph" w:styleId="Caption">
    <w:name w:val="caption"/>
    <w:basedOn w:val="Normal"/>
    <w:next w:val="Normal"/>
    <w:unhideWhenUsed/>
    <w:qFormat/>
    <w:rsid w:val="004302F3"/>
    <w:pPr>
      <w:spacing w:after="200"/>
    </w:pPr>
    <w:rPr>
      <w:i/>
      <w:iCs/>
      <w:color w:val="44546A" w:themeColor="text2"/>
      <w:sz w:val="18"/>
      <w:szCs w:val="18"/>
    </w:rPr>
  </w:style>
  <w:style w:type="character" w:styleId="CommentReference">
    <w:name w:val="annotation reference"/>
    <w:basedOn w:val="DefaultParagraphFont"/>
    <w:rsid w:val="008C04EA"/>
    <w:rPr>
      <w:sz w:val="16"/>
      <w:szCs w:val="16"/>
    </w:rPr>
  </w:style>
  <w:style w:type="paragraph" w:styleId="CommentText">
    <w:name w:val="annotation text"/>
    <w:basedOn w:val="Normal"/>
    <w:link w:val="CommentTextChar"/>
    <w:rsid w:val="008C04EA"/>
  </w:style>
  <w:style w:type="character" w:customStyle="1" w:styleId="CommentTextChar">
    <w:name w:val="Comment Text Char"/>
    <w:basedOn w:val="DefaultParagraphFont"/>
    <w:link w:val="CommentText"/>
    <w:rsid w:val="008C04EA"/>
    <w:rPr>
      <w:lang w:eastAsia="en-US"/>
    </w:rPr>
  </w:style>
  <w:style w:type="paragraph" w:styleId="CommentSubject">
    <w:name w:val="annotation subject"/>
    <w:basedOn w:val="CommentText"/>
    <w:next w:val="CommentText"/>
    <w:link w:val="CommentSubjectChar"/>
    <w:rsid w:val="008C04EA"/>
    <w:rPr>
      <w:b/>
      <w:bCs/>
    </w:rPr>
  </w:style>
  <w:style w:type="character" w:customStyle="1" w:styleId="CommentSubjectChar">
    <w:name w:val="Comment Subject Char"/>
    <w:basedOn w:val="CommentTextChar"/>
    <w:link w:val="CommentSubject"/>
    <w:rsid w:val="008C04EA"/>
    <w:rPr>
      <w:b/>
      <w:bCs/>
      <w:lang w:eastAsia="en-US"/>
    </w:rPr>
  </w:style>
  <w:style w:type="paragraph" w:styleId="BalloonText">
    <w:name w:val="Balloon Text"/>
    <w:basedOn w:val="Normal"/>
    <w:link w:val="BalloonTextChar"/>
    <w:rsid w:val="008C04EA"/>
    <w:pPr>
      <w:spacing w:after="0"/>
    </w:pPr>
    <w:rPr>
      <w:rFonts w:ascii="Segoe UI" w:hAnsi="Segoe UI" w:cs="Segoe UI"/>
      <w:sz w:val="18"/>
      <w:szCs w:val="18"/>
    </w:rPr>
  </w:style>
  <w:style w:type="character" w:customStyle="1" w:styleId="BalloonTextChar">
    <w:name w:val="Balloon Text Char"/>
    <w:basedOn w:val="DefaultParagraphFont"/>
    <w:link w:val="BalloonText"/>
    <w:rsid w:val="008C04EA"/>
    <w:rPr>
      <w:rFonts w:ascii="Segoe UI" w:hAnsi="Segoe UI" w:cs="Segoe UI"/>
      <w:sz w:val="18"/>
      <w:szCs w:val="18"/>
      <w:lang w:eastAsia="en-US"/>
    </w:rPr>
  </w:style>
  <w:style w:type="paragraph" w:customStyle="1" w:styleId="Doc-text2">
    <w:name w:val="Doc-text2"/>
    <w:basedOn w:val="Normal"/>
    <w:link w:val="Doc-text2Char"/>
    <w:qFormat/>
    <w:rsid w:val="0077743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7743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464943">
      <w:bodyDiv w:val="1"/>
      <w:marLeft w:val="0"/>
      <w:marRight w:val="0"/>
      <w:marTop w:val="0"/>
      <w:marBottom w:val="0"/>
      <w:divBdr>
        <w:top w:val="none" w:sz="0" w:space="0" w:color="auto"/>
        <w:left w:val="none" w:sz="0" w:space="0" w:color="auto"/>
        <w:bottom w:val="none" w:sz="0" w:space="0" w:color="auto"/>
        <w:right w:val="none" w:sz="0" w:space="0" w:color="auto"/>
      </w:divBdr>
    </w:div>
    <w:div w:id="534002951">
      <w:bodyDiv w:val="1"/>
      <w:marLeft w:val="0"/>
      <w:marRight w:val="0"/>
      <w:marTop w:val="0"/>
      <w:marBottom w:val="0"/>
      <w:divBdr>
        <w:top w:val="none" w:sz="0" w:space="0" w:color="auto"/>
        <w:left w:val="none" w:sz="0" w:space="0" w:color="auto"/>
        <w:bottom w:val="none" w:sz="0" w:space="0" w:color="auto"/>
        <w:right w:val="none" w:sz="0" w:space="0" w:color="auto"/>
      </w:divBdr>
    </w:div>
    <w:div w:id="1480881823">
      <w:bodyDiv w:val="1"/>
      <w:marLeft w:val="0"/>
      <w:marRight w:val="0"/>
      <w:marTop w:val="0"/>
      <w:marBottom w:val="0"/>
      <w:divBdr>
        <w:top w:val="none" w:sz="0" w:space="0" w:color="auto"/>
        <w:left w:val="none" w:sz="0" w:space="0" w:color="auto"/>
        <w:bottom w:val="none" w:sz="0" w:space="0" w:color="auto"/>
        <w:right w:val="none" w:sz="0" w:space="0" w:color="auto"/>
      </w:divBdr>
    </w:div>
    <w:div w:id="183221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SP-5AIRPNAIUNRU-859666464-612</_dlc_DocId>
    <_dlc_DocIdUrl xmlns="71c5aaf6-e6ce-465b-b873-5148d2a4c105">
      <Url>https://nokia.sharepoint.com/sites/c5g/e2earch/_layouts/15/DocIdRedir.aspx?ID=SP-5AIRPNAIUNRU-859666464-612</Url>
      <Description>SP-5AIRPNAIUNRU-859666464-612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C15D6B-5431-4A1B-A8F9-D94A2BB4531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F3F7EE8-086D-4638-AFAE-042DBFE17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B1C667-B358-4603-B65F-C60676C5A442}">
  <ds:schemaRefs>
    <ds:schemaRef ds:uri="http://schemas.microsoft.com/sharepoint/events"/>
  </ds:schemaRefs>
</ds:datastoreItem>
</file>

<file path=customXml/itemProps4.xml><?xml version="1.0" encoding="utf-8"?>
<ds:datastoreItem xmlns:ds="http://schemas.openxmlformats.org/officeDocument/2006/customXml" ds:itemID="{AFF292CD-DA3A-4719-AA1D-8BBF6C90EF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82</TotalTime>
  <Pages>2</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13</cp:revision>
  <dcterms:created xsi:type="dcterms:W3CDTF">2017-08-07T09:17:00Z</dcterms:created>
  <dcterms:modified xsi:type="dcterms:W3CDTF">2017-08-11T07:36:00Z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e08e4282-0006-42d1-a67f-ed873969785a</vt:lpwstr>
  </property>
</Properties>
</file>